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6DF" w:rsidRPr="006066DF" w:rsidRDefault="006066DF" w:rsidP="006066DF">
      <w:pPr>
        <w:pStyle w:val="ListParagraph"/>
        <w:numPr>
          <w:ilvl w:val="0"/>
          <w:numId w:val="1"/>
        </w:numPr>
        <w:ind w:left="360"/>
        <w:rPr>
          <w:rFonts w:ascii="Arial" w:hAnsi="Arial" w:cs="Arial"/>
          <w:b/>
          <w:bCs/>
          <w:color w:val="2E74B5" w:themeColor="accent1" w:themeShade="BF"/>
          <w:sz w:val="17"/>
          <w:szCs w:val="17"/>
        </w:rPr>
      </w:pPr>
      <w:r w:rsidRPr="006066DF">
        <w:rPr>
          <w:rFonts w:ascii="Arial" w:hAnsi="Arial" w:cs="Arial"/>
          <w:b/>
          <w:bCs/>
          <w:color w:val="2E74B5" w:themeColor="accent1" w:themeShade="BF"/>
          <w:sz w:val="17"/>
          <w:szCs w:val="17"/>
        </w:rPr>
        <w:t>General</w:t>
      </w:r>
    </w:p>
    <w:p w:rsidR="006066DF" w:rsidRPr="006066DF" w:rsidRDefault="006066DF" w:rsidP="006066DF">
      <w:pPr>
        <w:pStyle w:val="ListParagraph"/>
        <w:ind w:left="360"/>
        <w:rPr>
          <w:rFonts w:ascii="Arial" w:hAnsi="Arial" w:cs="Arial"/>
          <w:b/>
          <w:bCs/>
          <w:color w:val="44546A" w:themeColor="text2"/>
          <w:sz w:val="17"/>
          <w:szCs w:val="17"/>
        </w:rPr>
      </w:pPr>
    </w:p>
    <w:p w:rsidR="006066DF" w:rsidRPr="006066DF" w:rsidRDefault="006066DF" w:rsidP="006066DF">
      <w:pPr>
        <w:pStyle w:val="ListParagraph"/>
        <w:numPr>
          <w:ilvl w:val="1"/>
          <w:numId w:val="1"/>
        </w:numPr>
        <w:ind w:left="360" w:hanging="450"/>
        <w:rPr>
          <w:rFonts w:ascii="Arial" w:hAnsi="Arial" w:cs="Arial"/>
          <w:b/>
          <w:bCs/>
          <w:color w:val="44546A" w:themeColor="text2"/>
          <w:sz w:val="17"/>
          <w:szCs w:val="17"/>
        </w:rPr>
      </w:pPr>
      <w:r w:rsidRPr="006066DF">
        <w:rPr>
          <w:rFonts w:ascii="Arial" w:hAnsi="Arial" w:cs="Arial"/>
          <w:sz w:val="17"/>
          <w:szCs w:val="17"/>
        </w:rPr>
        <w:t>The following terms and conditions apply to agreed Product Verification of Conformity (PVoC) and similar services.</w:t>
      </w:r>
    </w:p>
    <w:p w:rsidR="006066DF" w:rsidRPr="006066DF" w:rsidRDefault="006066DF" w:rsidP="006066DF">
      <w:pPr>
        <w:tabs>
          <w:tab w:val="left" w:pos="-720"/>
          <w:tab w:val="left" w:pos="630"/>
        </w:tabs>
        <w:suppressAutoHyphens/>
        <w:ind w:left="360"/>
        <w:rPr>
          <w:rFonts w:ascii="Arial" w:hAnsi="Arial" w:cs="Arial"/>
          <w:sz w:val="17"/>
          <w:szCs w:val="17"/>
        </w:rPr>
      </w:pPr>
      <w:r w:rsidRPr="006066DF">
        <w:rPr>
          <w:rFonts w:ascii="Arial" w:hAnsi="Arial" w:cs="Arial"/>
          <w:sz w:val="17"/>
          <w:szCs w:val="17"/>
        </w:rPr>
        <w:tab/>
      </w:r>
    </w:p>
    <w:p w:rsidR="006066DF" w:rsidRPr="00BF2F10" w:rsidRDefault="006066DF" w:rsidP="00BF2F10">
      <w:pPr>
        <w:pStyle w:val="ListParagraph"/>
        <w:numPr>
          <w:ilvl w:val="1"/>
          <w:numId w:val="1"/>
        </w:numPr>
        <w:ind w:left="360" w:hanging="450"/>
        <w:rPr>
          <w:rFonts w:ascii="Arial" w:hAnsi="Arial" w:cs="Arial"/>
          <w:sz w:val="17"/>
          <w:szCs w:val="17"/>
        </w:rPr>
      </w:pPr>
      <w:r w:rsidRPr="0091467B">
        <w:rPr>
          <w:rFonts w:ascii="Arial" w:hAnsi="Arial" w:cs="Arial"/>
          <w:sz w:val="17"/>
          <w:szCs w:val="17"/>
        </w:rPr>
        <w:t>It is assumed hereinafter that the client has read the general Terms and Conditions of TÜV Rheinland which also apply to any services offered by TÜV Rheinland. In case of doubt, the hereinafter PVoC Terms and Conditions dominate the general business Terms and Conditions of TÜV Rheinland (available on website</w:t>
      </w:r>
      <w:r w:rsidR="00BF2F10">
        <w:rPr>
          <w:rFonts w:ascii="Arial" w:hAnsi="Arial" w:cs="Arial"/>
          <w:sz w:val="17"/>
          <w:szCs w:val="17"/>
        </w:rPr>
        <w:t xml:space="preserve"> / </w:t>
      </w:r>
      <w:r w:rsidRPr="00BF2F10">
        <w:rPr>
          <w:rFonts w:ascii="Arial" w:hAnsi="Arial" w:cs="Arial"/>
          <w:sz w:val="17"/>
          <w:szCs w:val="17"/>
        </w:rPr>
        <w:t>can</w:t>
      </w:r>
      <w:r w:rsidR="00D44A6F" w:rsidRPr="00BF2F10">
        <w:rPr>
          <w:rFonts w:ascii="Arial" w:hAnsi="Arial" w:cs="Arial"/>
          <w:sz w:val="17"/>
          <w:szCs w:val="17"/>
        </w:rPr>
        <w:t xml:space="preserve"> also </w:t>
      </w:r>
      <w:r w:rsidRPr="00BF2F10">
        <w:rPr>
          <w:rFonts w:ascii="Arial" w:hAnsi="Arial" w:cs="Arial"/>
          <w:sz w:val="17"/>
          <w:szCs w:val="17"/>
        </w:rPr>
        <w:t xml:space="preserve">be requested from TÜV Rheinland representative). </w:t>
      </w:r>
    </w:p>
    <w:p w:rsidR="006066DF" w:rsidRPr="006066DF" w:rsidRDefault="006066DF" w:rsidP="006066DF">
      <w:pPr>
        <w:tabs>
          <w:tab w:val="left" w:pos="1080"/>
        </w:tabs>
        <w:ind w:left="360"/>
        <w:rPr>
          <w:rFonts w:ascii="Arial" w:hAnsi="Arial" w:cs="Arial"/>
          <w:spacing w:val="-2"/>
          <w:sz w:val="17"/>
          <w:szCs w:val="17"/>
        </w:rPr>
      </w:pPr>
    </w:p>
    <w:p w:rsidR="006066DF" w:rsidRPr="006066DF" w:rsidRDefault="006066DF" w:rsidP="006066DF">
      <w:pPr>
        <w:pStyle w:val="ListParagraph"/>
        <w:numPr>
          <w:ilvl w:val="1"/>
          <w:numId w:val="2"/>
        </w:numPr>
        <w:ind w:left="360" w:hanging="450"/>
        <w:rPr>
          <w:rFonts w:ascii="Arial" w:eastAsiaTheme="minorHAnsi" w:hAnsi="Arial" w:cs="Arial"/>
          <w:color w:val="000000"/>
          <w:kern w:val="0"/>
          <w:sz w:val="17"/>
          <w:szCs w:val="17"/>
          <w:lang w:eastAsia="en-US"/>
        </w:rPr>
      </w:pPr>
      <w:r w:rsidRPr="006066DF">
        <w:rPr>
          <w:rFonts w:ascii="Arial" w:hAnsi="Arial" w:cs="Arial"/>
          <w:sz w:val="17"/>
          <w:szCs w:val="17"/>
        </w:rPr>
        <w:t>The application / declaration form sets out the entire agreement and understanding between the parties in relation to the PVoC services. The exporter acknowledges that, in submitting the signed application that it has not relied on any oral or written representation, warranty, or other assurance (except as provided for or referred to in this application) and waives all rights and remedies which might otherwise be available to it in respect thereof, provided always, that nothing in this clause limits or excludes any liability for fraud.</w:t>
      </w:r>
      <w:r w:rsidRPr="006066DF">
        <w:rPr>
          <w:rFonts w:ascii="Arial" w:eastAsiaTheme="minorHAnsi" w:hAnsi="Arial" w:cs="Arial"/>
          <w:color w:val="000000"/>
          <w:kern w:val="0"/>
          <w:sz w:val="17"/>
          <w:szCs w:val="17"/>
          <w:lang w:eastAsia="en-US"/>
        </w:rPr>
        <w:t xml:space="preserve"> </w:t>
      </w:r>
    </w:p>
    <w:p w:rsidR="006066DF" w:rsidRPr="006066DF" w:rsidRDefault="006066DF" w:rsidP="006066DF">
      <w:pPr>
        <w:tabs>
          <w:tab w:val="left" w:pos="1080"/>
        </w:tabs>
        <w:ind w:left="360"/>
        <w:rPr>
          <w:rFonts w:ascii="Arial" w:eastAsiaTheme="minorHAnsi" w:hAnsi="Arial" w:cs="Arial"/>
          <w:color w:val="000000"/>
          <w:kern w:val="0"/>
          <w:sz w:val="17"/>
          <w:szCs w:val="17"/>
          <w:lang w:eastAsia="en-US"/>
        </w:rPr>
      </w:pPr>
    </w:p>
    <w:p w:rsidR="006066DF" w:rsidRPr="006066DF" w:rsidRDefault="006066DF" w:rsidP="006066DF">
      <w:pPr>
        <w:pStyle w:val="ListParagraph"/>
        <w:numPr>
          <w:ilvl w:val="1"/>
          <w:numId w:val="2"/>
        </w:numPr>
        <w:ind w:left="360" w:hanging="450"/>
        <w:rPr>
          <w:rFonts w:ascii="Arial" w:eastAsiaTheme="minorHAnsi" w:hAnsi="Arial" w:cs="Arial"/>
          <w:color w:val="000000"/>
          <w:kern w:val="0"/>
          <w:sz w:val="17"/>
          <w:szCs w:val="17"/>
          <w:lang w:eastAsia="en-US"/>
        </w:rPr>
      </w:pPr>
      <w:r w:rsidRPr="006066DF">
        <w:rPr>
          <w:rFonts w:ascii="Arial" w:eastAsiaTheme="minorHAnsi" w:hAnsi="Arial" w:cs="Arial"/>
          <w:color w:val="000000"/>
          <w:kern w:val="0"/>
          <w:sz w:val="17"/>
          <w:szCs w:val="17"/>
          <w:lang w:eastAsia="en-US"/>
        </w:rPr>
        <w:t>Unless otherwise agreed in writing or except where changes are at variance with the regulations, governing services performed on behalf of governments, government bodies or any other public entity or the mandatory provisions of local law, all offers or services and all resulting contractual relationship(s) between TÜV Rheinland or their agents and the client in relation to PVoC services, shall be governed by these general conditions for PVoC services.</w:t>
      </w:r>
    </w:p>
    <w:p w:rsidR="006066DF" w:rsidRPr="006066DF" w:rsidRDefault="006066DF" w:rsidP="006066DF">
      <w:pPr>
        <w:pStyle w:val="ListParagraph"/>
        <w:tabs>
          <w:tab w:val="left" w:pos="-720"/>
          <w:tab w:val="left" w:pos="315"/>
        </w:tabs>
        <w:suppressAutoHyphens/>
        <w:ind w:left="360"/>
        <w:rPr>
          <w:rFonts w:ascii="Arial" w:hAnsi="Arial" w:cs="Arial"/>
          <w:sz w:val="17"/>
          <w:szCs w:val="17"/>
        </w:rPr>
      </w:pPr>
    </w:p>
    <w:p w:rsidR="006066DF" w:rsidRPr="006066DF" w:rsidRDefault="006066DF" w:rsidP="006066DF">
      <w:pPr>
        <w:pStyle w:val="ListParagraph"/>
        <w:numPr>
          <w:ilvl w:val="0"/>
          <w:numId w:val="1"/>
        </w:numPr>
        <w:ind w:left="360"/>
        <w:rPr>
          <w:rFonts w:ascii="Arial" w:hAnsi="Arial" w:cs="Arial"/>
          <w:b/>
          <w:bCs/>
          <w:color w:val="2E74B5" w:themeColor="accent1" w:themeShade="BF"/>
          <w:sz w:val="17"/>
          <w:szCs w:val="17"/>
        </w:rPr>
      </w:pPr>
      <w:r w:rsidRPr="006066DF">
        <w:rPr>
          <w:rFonts w:ascii="Arial" w:hAnsi="Arial" w:cs="Arial"/>
          <w:b/>
          <w:bCs/>
          <w:color w:val="2E74B5" w:themeColor="accent1" w:themeShade="BF"/>
          <w:sz w:val="17"/>
          <w:szCs w:val="17"/>
        </w:rPr>
        <w:t>Good Faith</w:t>
      </w:r>
    </w:p>
    <w:p w:rsidR="006066DF" w:rsidRPr="006066DF" w:rsidRDefault="006066DF" w:rsidP="006066DF">
      <w:pPr>
        <w:pStyle w:val="ListParagraph"/>
        <w:ind w:left="360"/>
        <w:rPr>
          <w:rFonts w:ascii="Arial" w:hAnsi="Arial" w:cs="Arial"/>
          <w:b/>
          <w:bCs/>
          <w:color w:val="44546A" w:themeColor="text2"/>
          <w:sz w:val="17"/>
          <w:szCs w:val="17"/>
        </w:rPr>
      </w:pPr>
    </w:p>
    <w:p w:rsidR="006066DF" w:rsidRPr="006066DF" w:rsidRDefault="006066DF" w:rsidP="006066DF">
      <w:pPr>
        <w:pStyle w:val="ListParagraph"/>
        <w:numPr>
          <w:ilvl w:val="1"/>
          <w:numId w:val="3"/>
        </w:numPr>
        <w:ind w:left="360" w:hanging="450"/>
        <w:rPr>
          <w:rFonts w:ascii="Arial" w:hAnsi="Arial" w:cs="Arial"/>
          <w:sz w:val="17"/>
          <w:szCs w:val="17"/>
        </w:rPr>
      </w:pPr>
      <w:r w:rsidRPr="006066DF">
        <w:rPr>
          <w:rFonts w:ascii="Arial" w:hAnsi="Arial" w:cs="Arial"/>
          <w:sz w:val="17"/>
          <w:szCs w:val="17"/>
        </w:rPr>
        <w:t>TÜV Rheinland represents and warrants that any Certificates of Conformity are issued in good faith and in the reasonable belief that it has authority to do so deriving from, and limited to the authorization by the respective government authority.</w:t>
      </w:r>
    </w:p>
    <w:p w:rsidR="006066DF" w:rsidRPr="006066DF" w:rsidRDefault="006066DF" w:rsidP="006066DF">
      <w:pPr>
        <w:pStyle w:val="ListParagraph"/>
        <w:ind w:left="360"/>
        <w:rPr>
          <w:rFonts w:ascii="Arial" w:hAnsi="Arial" w:cs="Arial"/>
          <w:sz w:val="17"/>
          <w:szCs w:val="17"/>
        </w:rPr>
      </w:pPr>
    </w:p>
    <w:p w:rsidR="006066DF" w:rsidRPr="006066DF" w:rsidRDefault="006066DF" w:rsidP="006066DF">
      <w:pPr>
        <w:pStyle w:val="ListParagraph"/>
        <w:numPr>
          <w:ilvl w:val="0"/>
          <w:numId w:val="1"/>
        </w:numPr>
        <w:ind w:left="360"/>
        <w:rPr>
          <w:rFonts w:ascii="Arial" w:hAnsi="Arial" w:cs="Arial"/>
          <w:b/>
          <w:bCs/>
          <w:color w:val="2E74B5" w:themeColor="accent1" w:themeShade="BF"/>
          <w:sz w:val="17"/>
          <w:szCs w:val="17"/>
        </w:rPr>
      </w:pPr>
      <w:r w:rsidRPr="006066DF">
        <w:rPr>
          <w:rFonts w:ascii="Arial" w:hAnsi="Arial" w:cs="Arial"/>
          <w:b/>
          <w:bCs/>
          <w:color w:val="2E74B5" w:themeColor="accent1" w:themeShade="BF"/>
          <w:sz w:val="17"/>
          <w:szCs w:val="17"/>
        </w:rPr>
        <w:t xml:space="preserve">Service Provision </w:t>
      </w:r>
    </w:p>
    <w:p w:rsidR="006066DF" w:rsidRPr="006066DF" w:rsidRDefault="006066DF" w:rsidP="006066DF">
      <w:pPr>
        <w:rPr>
          <w:rFonts w:ascii="Arial" w:hAnsi="Arial" w:cs="Arial"/>
          <w:sz w:val="17"/>
          <w:szCs w:val="17"/>
        </w:rPr>
      </w:pPr>
    </w:p>
    <w:p w:rsidR="006066DF" w:rsidRPr="006066DF" w:rsidRDefault="006066DF" w:rsidP="006066DF">
      <w:pPr>
        <w:pStyle w:val="ListParagraph"/>
        <w:numPr>
          <w:ilvl w:val="0"/>
          <w:numId w:val="3"/>
        </w:numPr>
        <w:rPr>
          <w:rFonts w:ascii="Arial" w:hAnsi="Arial" w:cs="Arial"/>
          <w:vanish/>
          <w:sz w:val="17"/>
          <w:szCs w:val="17"/>
        </w:rPr>
      </w:pPr>
    </w:p>
    <w:p w:rsidR="006066DF" w:rsidRPr="006066DF" w:rsidRDefault="006066DF" w:rsidP="006066DF">
      <w:pPr>
        <w:pStyle w:val="ListParagraph"/>
        <w:numPr>
          <w:ilvl w:val="1"/>
          <w:numId w:val="3"/>
        </w:numPr>
        <w:ind w:left="270"/>
        <w:rPr>
          <w:rFonts w:ascii="Arial" w:eastAsiaTheme="minorHAnsi" w:hAnsi="Arial" w:cs="Arial"/>
          <w:color w:val="000000"/>
          <w:kern w:val="0"/>
          <w:sz w:val="17"/>
          <w:szCs w:val="17"/>
          <w:lang w:eastAsia="en-US"/>
        </w:rPr>
      </w:pPr>
      <w:r w:rsidRPr="006066DF">
        <w:rPr>
          <w:rFonts w:ascii="Arial" w:hAnsi="Arial" w:cs="Arial"/>
          <w:sz w:val="17"/>
          <w:szCs w:val="17"/>
        </w:rPr>
        <w:t>Unless</w:t>
      </w:r>
      <w:r w:rsidRPr="006066DF">
        <w:rPr>
          <w:rFonts w:ascii="Arial" w:eastAsiaTheme="minorHAnsi" w:hAnsi="Arial" w:cs="Arial"/>
          <w:color w:val="000000"/>
          <w:kern w:val="0"/>
          <w:sz w:val="17"/>
          <w:szCs w:val="17"/>
          <w:lang w:eastAsia="en-US"/>
        </w:rPr>
        <w:t xml:space="preserve"> TÜV Rheinland receives prior written instructions to the contrary from the client, no other party is entitled to give instructions, particularly on the scope of the services or the delivery of reports or certificates resulting therefrom. </w:t>
      </w:r>
    </w:p>
    <w:p w:rsidR="006066DF" w:rsidRPr="006066DF" w:rsidRDefault="006066DF" w:rsidP="006066DF">
      <w:pPr>
        <w:pStyle w:val="ListParagraph"/>
        <w:ind w:left="270"/>
        <w:rPr>
          <w:rFonts w:ascii="Arial" w:eastAsiaTheme="minorHAnsi" w:hAnsi="Arial" w:cs="Arial"/>
          <w:color w:val="000000"/>
          <w:kern w:val="0"/>
          <w:sz w:val="17"/>
          <w:szCs w:val="17"/>
          <w:lang w:eastAsia="en-US"/>
        </w:rPr>
      </w:pPr>
    </w:p>
    <w:p w:rsidR="006066DF" w:rsidRPr="006066DF" w:rsidRDefault="006066DF" w:rsidP="006066DF">
      <w:pPr>
        <w:pStyle w:val="ListParagraph"/>
        <w:numPr>
          <w:ilvl w:val="1"/>
          <w:numId w:val="3"/>
        </w:numPr>
        <w:ind w:left="270"/>
        <w:rPr>
          <w:rFonts w:ascii="Arial" w:eastAsiaTheme="minorHAnsi" w:hAnsi="Arial" w:cs="Arial"/>
          <w:color w:val="000000"/>
          <w:kern w:val="0"/>
          <w:sz w:val="17"/>
          <w:szCs w:val="17"/>
          <w:lang w:eastAsia="en-US"/>
        </w:rPr>
      </w:pPr>
      <w:r w:rsidRPr="006066DF">
        <w:rPr>
          <w:rFonts w:ascii="Arial" w:eastAsiaTheme="minorHAnsi" w:hAnsi="Arial" w:cs="Arial"/>
          <w:color w:val="000000"/>
          <w:kern w:val="0"/>
          <w:sz w:val="17"/>
          <w:szCs w:val="17"/>
          <w:lang w:eastAsia="en-US"/>
        </w:rPr>
        <w:t xml:space="preserve">The client hereby irrevocably authorizes TÜV Rheinland to deliver Certificates of Conformity to a third party where so instructed by the client or, at its </w:t>
      </w:r>
      <w:r w:rsidRPr="006066DF">
        <w:rPr>
          <w:rFonts w:ascii="Arial" w:eastAsiaTheme="minorHAnsi" w:hAnsi="Arial" w:cs="Arial"/>
          <w:color w:val="000000"/>
          <w:kern w:val="0"/>
          <w:sz w:val="17"/>
          <w:szCs w:val="17"/>
          <w:lang w:eastAsia="en-US"/>
        </w:rPr>
        <w:tab/>
        <w:t>discretion, where it implicitly follows circumstances, trade customs or practice.</w:t>
      </w:r>
    </w:p>
    <w:p w:rsidR="006066DF" w:rsidRPr="006066DF" w:rsidRDefault="006066DF" w:rsidP="006066DF">
      <w:pPr>
        <w:pStyle w:val="ListParagraph"/>
        <w:rPr>
          <w:rFonts w:ascii="Arial" w:eastAsiaTheme="minorHAnsi" w:hAnsi="Arial" w:cs="Arial"/>
          <w:color w:val="000000"/>
          <w:kern w:val="0"/>
          <w:sz w:val="17"/>
          <w:szCs w:val="17"/>
          <w:lang w:eastAsia="en-US"/>
        </w:rPr>
      </w:pPr>
    </w:p>
    <w:p w:rsidR="006066DF" w:rsidRPr="006066DF" w:rsidRDefault="006066DF" w:rsidP="006066DF">
      <w:pPr>
        <w:pStyle w:val="ListParagraph"/>
        <w:numPr>
          <w:ilvl w:val="1"/>
          <w:numId w:val="3"/>
        </w:numPr>
        <w:ind w:left="270"/>
        <w:rPr>
          <w:rFonts w:ascii="Arial" w:eastAsiaTheme="minorHAnsi" w:hAnsi="Arial" w:cs="Arial"/>
          <w:color w:val="000000"/>
          <w:kern w:val="0"/>
          <w:sz w:val="17"/>
          <w:szCs w:val="17"/>
          <w:lang w:eastAsia="en-US"/>
        </w:rPr>
      </w:pPr>
      <w:r w:rsidRPr="006066DF">
        <w:rPr>
          <w:rFonts w:ascii="Arial" w:hAnsi="Arial" w:cs="Arial"/>
          <w:spacing w:val="-2"/>
          <w:sz w:val="17"/>
          <w:szCs w:val="17"/>
        </w:rPr>
        <w:t>TÜV Rheinland and the respective authority</w:t>
      </w:r>
      <w:r w:rsidRPr="006066DF">
        <w:rPr>
          <w:rFonts w:ascii="Arial" w:hAnsi="Arial" w:cs="Arial"/>
          <w:snapToGrid w:val="0"/>
          <w:color w:val="000000"/>
          <w:sz w:val="17"/>
          <w:szCs w:val="17"/>
        </w:rPr>
        <w:t xml:space="preserve"> </w:t>
      </w:r>
      <w:r w:rsidRPr="006066DF">
        <w:rPr>
          <w:rFonts w:ascii="Arial" w:hAnsi="Arial" w:cs="Arial"/>
          <w:spacing w:val="-2"/>
          <w:sz w:val="17"/>
          <w:szCs w:val="17"/>
        </w:rPr>
        <w:t>reserve the right to request substantiation for the Declaration of Conformity or to enforce testing of the product(s) at any time during the project’s period.</w:t>
      </w:r>
    </w:p>
    <w:p w:rsidR="006066DF" w:rsidRPr="006066DF" w:rsidRDefault="006066DF" w:rsidP="006066DF">
      <w:pPr>
        <w:rPr>
          <w:rFonts w:ascii="Arial" w:eastAsiaTheme="minorHAnsi" w:hAnsi="Arial" w:cs="Arial"/>
          <w:color w:val="000000"/>
          <w:kern w:val="0"/>
          <w:sz w:val="17"/>
          <w:szCs w:val="17"/>
          <w:lang w:eastAsia="en-US"/>
        </w:rPr>
      </w:pPr>
    </w:p>
    <w:p w:rsidR="006066DF" w:rsidRPr="006066DF" w:rsidRDefault="006066DF" w:rsidP="006066DF">
      <w:pPr>
        <w:pStyle w:val="ListParagraph"/>
        <w:numPr>
          <w:ilvl w:val="0"/>
          <w:numId w:val="1"/>
        </w:numPr>
        <w:ind w:left="360"/>
        <w:rPr>
          <w:rFonts w:ascii="Arial" w:hAnsi="Arial" w:cs="Arial"/>
          <w:b/>
          <w:bCs/>
          <w:color w:val="2E74B5" w:themeColor="accent1" w:themeShade="BF"/>
          <w:sz w:val="17"/>
          <w:szCs w:val="17"/>
        </w:rPr>
      </w:pPr>
      <w:r w:rsidRPr="006066DF">
        <w:rPr>
          <w:rFonts w:ascii="Arial" w:hAnsi="Arial" w:cs="Arial"/>
          <w:b/>
          <w:bCs/>
          <w:color w:val="2E74B5" w:themeColor="accent1" w:themeShade="BF"/>
          <w:sz w:val="17"/>
          <w:szCs w:val="17"/>
        </w:rPr>
        <w:t>Scope of Service</w:t>
      </w:r>
    </w:p>
    <w:p w:rsidR="006066DF" w:rsidRPr="006066DF" w:rsidRDefault="006066DF" w:rsidP="006066DF">
      <w:pPr>
        <w:pStyle w:val="ListParagraph"/>
        <w:ind w:left="360"/>
        <w:rPr>
          <w:rFonts w:ascii="Arial" w:hAnsi="Arial" w:cs="Arial"/>
          <w:b/>
          <w:bCs/>
          <w:color w:val="44546A" w:themeColor="text2"/>
          <w:sz w:val="17"/>
          <w:szCs w:val="17"/>
        </w:rPr>
      </w:pPr>
    </w:p>
    <w:p w:rsidR="006066DF" w:rsidRPr="006066DF" w:rsidRDefault="006066DF" w:rsidP="006066DF">
      <w:pPr>
        <w:pStyle w:val="ListParagraph"/>
        <w:numPr>
          <w:ilvl w:val="0"/>
          <w:numId w:val="3"/>
        </w:numPr>
        <w:rPr>
          <w:rFonts w:ascii="Arial" w:hAnsi="Arial" w:cs="Arial"/>
          <w:vanish/>
          <w:sz w:val="17"/>
          <w:szCs w:val="17"/>
        </w:rPr>
      </w:pPr>
    </w:p>
    <w:p w:rsidR="006066DF" w:rsidRPr="006066DF" w:rsidRDefault="006066DF" w:rsidP="006066DF">
      <w:pPr>
        <w:pStyle w:val="ListParagraph"/>
        <w:numPr>
          <w:ilvl w:val="1"/>
          <w:numId w:val="3"/>
        </w:numPr>
        <w:ind w:left="270"/>
        <w:rPr>
          <w:rFonts w:ascii="Arial" w:hAnsi="Arial" w:cs="Arial"/>
          <w:sz w:val="17"/>
          <w:szCs w:val="17"/>
        </w:rPr>
      </w:pPr>
      <w:r w:rsidRPr="006066DF">
        <w:rPr>
          <w:rFonts w:ascii="Arial" w:hAnsi="Arial" w:cs="Arial"/>
          <w:sz w:val="17"/>
          <w:szCs w:val="17"/>
        </w:rPr>
        <w:t>TÜV Rheinland acts neither as an insurer nor as a guarantor and declines any liability under this heading. The client seeking to guarantee itself against losses or damage will have to obtain adequate insurance cover at its own expense.</w:t>
      </w:r>
    </w:p>
    <w:p w:rsidR="006066DF" w:rsidRPr="006066DF" w:rsidRDefault="006066DF" w:rsidP="006066DF">
      <w:pPr>
        <w:pStyle w:val="ListParagraph"/>
        <w:ind w:left="270"/>
        <w:rPr>
          <w:rFonts w:ascii="Arial" w:hAnsi="Arial" w:cs="Arial"/>
          <w:sz w:val="17"/>
          <w:szCs w:val="17"/>
        </w:rPr>
      </w:pPr>
      <w:bookmarkStart w:id="0" w:name="_GoBack"/>
      <w:bookmarkEnd w:id="0"/>
    </w:p>
    <w:p w:rsidR="006066DF" w:rsidRPr="006066DF" w:rsidRDefault="006066DF" w:rsidP="006066DF">
      <w:pPr>
        <w:pStyle w:val="ListParagraph"/>
        <w:numPr>
          <w:ilvl w:val="0"/>
          <w:numId w:val="1"/>
        </w:numPr>
        <w:ind w:left="360"/>
        <w:rPr>
          <w:rFonts w:ascii="Arial" w:hAnsi="Arial" w:cs="Arial"/>
          <w:b/>
          <w:bCs/>
          <w:color w:val="2E74B5" w:themeColor="accent1" w:themeShade="BF"/>
          <w:sz w:val="17"/>
          <w:szCs w:val="17"/>
        </w:rPr>
      </w:pPr>
      <w:r w:rsidRPr="006066DF">
        <w:rPr>
          <w:rFonts w:ascii="Arial" w:hAnsi="Arial" w:cs="Arial"/>
          <w:b/>
          <w:bCs/>
          <w:color w:val="2E74B5" w:themeColor="accent1" w:themeShade="BF"/>
          <w:sz w:val="17"/>
          <w:szCs w:val="17"/>
        </w:rPr>
        <w:t>Registration/License and Surveillance</w:t>
      </w:r>
    </w:p>
    <w:p w:rsidR="006066DF" w:rsidRPr="006066DF" w:rsidRDefault="006066DF" w:rsidP="006066DF">
      <w:pPr>
        <w:pStyle w:val="ListParagraph"/>
        <w:ind w:left="360"/>
        <w:rPr>
          <w:rFonts w:ascii="Arial" w:hAnsi="Arial" w:cs="Arial"/>
          <w:b/>
          <w:bCs/>
          <w:color w:val="44546A" w:themeColor="text2"/>
          <w:sz w:val="17"/>
          <w:szCs w:val="17"/>
        </w:rPr>
      </w:pPr>
      <w:r w:rsidRPr="006066DF">
        <w:rPr>
          <w:rFonts w:ascii="Arial" w:hAnsi="Arial" w:cs="Arial"/>
          <w:b/>
          <w:bCs/>
          <w:color w:val="44546A" w:themeColor="text2"/>
          <w:sz w:val="17"/>
          <w:szCs w:val="17"/>
        </w:rPr>
        <w:t xml:space="preserve"> </w:t>
      </w:r>
    </w:p>
    <w:p w:rsidR="006066DF" w:rsidRPr="006066DF" w:rsidRDefault="006066DF" w:rsidP="006066DF">
      <w:pPr>
        <w:pStyle w:val="ListParagraph"/>
        <w:numPr>
          <w:ilvl w:val="0"/>
          <w:numId w:val="3"/>
        </w:numPr>
        <w:rPr>
          <w:rFonts w:ascii="Arial" w:hAnsi="Arial" w:cs="Arial"/>
          <w:vanish/>
          <w:spacing w:val="-2"/>
          <w:sz w:val="17"/>
          <w:szCs w:val="17"/>
        </w:rPr>
      </w:pPr>
    </w:p>
    <w:p w:rsidR="006066DF" w:rsidRPr="006066DF" w:rsidRDefault="006066DF" w:rsidP="006066DF">
      <w:pPr>
        <w:pStyle w:val="ListParagraph"/>
        <w:numPr>
          <w:ilvl w:val="1"/>
          <w:numId w:val="3"/>
        </w:numPr>
        <w:ind w:left="270"/>
        <w:rPr>
          <w:rFonts w:ascii="Arial" w:hAnsi="Arial" w:cs="Arial"/>
          <w:spacing w:val="-2"/>
          <w:sz w:val="17"/>
          <w:szCs w:val="17"/>
        </w:rPr>
      </w:pPr>
      <w:r w:rsidRPr="006066DF">
        <w:rPr>
          <w:rFonts w:ascii="Arial" w:hAnsi="Arial" w:cs="Arial"/>
          <w:spacing w:val="-2"/>
          <w:sz w:val="17"/>
          <w:szCs w:val="17"/>
        </w:rPr>
        <w:t>The registration / license and surveillance terms are stipulated in the registration application of the respective PVoC scheme.</w:t>
      </w:r>
    </w:p>
    <w:p w:rsidR="006066DF" w:rsidRPr="006066DF" w:rsidRDefault="006066DF" w:rsidP="006066DF">
      <w:pPr>
        <w:tabs>
          <w:tab w:val="left" w:pos="-720"/>
          <w:tab w:val="left" w:pos="315"/>
        </w:tabs>
        <w:suppressAutoHyphens/>
        <w:ind w:left="360"/>
        <w:rPr>
          <w:rFonts w:ascii="Arial" w:hAnsi="Arial" w:cs="Arial"/>
          <w:sz w:val="17"/>
          <w:szCs w:val="17"/>
        </w:rPr>
      </w:pPr>
    </w:p>
    <w:p w:rsidR="006066DF" w:rsidRPr="006066DF" w:rsidRDefault="006066DF" w:rsidP="006066DF">
      <w:pPr>
        <w:pStyle w:val="ListParagraph"/>
        <w:numPr>
          <w:ilvl w:val="0"/>
          <w:numId w:val="1"/>
        </w:numPr>
        <w:ind w:left="360"/>
        <w:rPr>
          <w:rFonts w:ascii="Arial" w:hAnsi="Arial" w:cs="Arial"/>
          <w:b/>
          <w:bCs/>
          <w:color w:val="2E74B5" w:themeColor="accent1" w:themeShade="BF"/>
          <w:sz w:val="17"/>
          <w:szCs w:val="17"/>
        </w:rPr>
      </w:pPr>
      <w:r w:rsidRPr="006066DF">
        <w:rPr>
          <w:rFonts w:ascii="Arial" w:hAnsi="Arial" w:cs="Arial"/>
          <w:b/>
          <w:bCs/>
          <w:color w:val="2E74B5" w:themeColor="accent1" w:themeShade="BF"/>
          <w:sz w:val="17"/>
          <w:szCs w:val="17"/>
        </w:rPr>
        <w:t>Client Responsibility</w:t>
      </w:r>
    </w:p>
    <w:p w:rsidR="006066DF" w:rsidRPr="006066DF" w:rsidRDefault="006066DF" w:rsidP="006066DF">
      <w:pPr>
        <w:pStyle w:val="ListParagraph"/>
        <w:ind w:left="360"/>
        <w:rPr>
          <w:rFonts w:ascii="Arial" w:hAnsi="Arial" w:cs="Arial"/>
          <w:b/>
          <w:bCs/>
          <w:color w:val="44546A" w:themeColor="text2"/>
          <w:sz w:val="17"/>
          <w:szCs w:val="17"/>
        </w:rPr>
      </w:pPr>
      <w:r w:rsidRPr="006066DF">
        <w:rPr>
          <w:rFonts w:ascii="Arial" w:hAnsi="Arial" w:cs="Arial"/>
          <w:b/>
          <w:bCs/>
          <w:color w:val="44546A" w:themeColor="text2"/>
          <w:sz w:val="17"/>
          <w:szCs w:val="17"/>
        </w:rPr>
        <w:t xml:space="preserve"> </w:t>
      </w:r>
    </w:p>
    <w:p w:rsidR="006066DF" w:rsidRPr="006066DF" w:rsidRDefault="006066DF" w:rsidP="006066DF">
      <w:pPr>
        <w:pStyle w:val="ListParagraph"/>
        <w:numPr>
          <w:ilvl w:val="0"/>
          <w:numId w:val="3"/>
        </w:numPr>
        <w:rPr>
          <w:rFonts w:ascii="Arial" w:hAnsi="Arial" w:cs="Arial"/>
          <w:vanish/>
          <w:sz w:val="17"/>
          <w:szCs w:val="17"/>
        </w:rPr>
      </w:pPr>
    </w:p>
    <w:p w:rsidR="000753F1" w:rsidRDefault="000753F1" w:rsidP="000753F1">
      <w:pPr>
        <w:pStyle w:val="ListParagraph"/>
        <w:numPr>
          <w:ilvl w:val="1"/>
          <w:numId w:val="3"/>
        </w:numPr>
        <w:ind w:left="270"/>
        <w:rPr>
          <w:rFonts w:ascii="Arial" w:hAnsi="Arial" w:cs="Arial"/>
          <w:sz w:val="17"/>
          <w:szCs w:val="17"/>
        </w:rPr>
      </w:pPr>
      <w:r w:rsidRPr="000753F1">
        <w:rPr>
          <w:rFonts w:ascii="Arial" w:hAnsi="Arial" w:cs="Arial"/>
          <w:sz w:val="17"/>
          <w:szCs w:val="17"/>
        </w:rPr>
        <w:t xml:space="preserve">The applicant </w:t>
      </w:r>
      <w:r>
        <w:rPr>
          <w:rFonts w:ascii="Arial" w:hAnsi="Arial" w:cs="Arial"/>
          <w:sz w:val="17"/>
          <w:szCs w:val="17"/>
        </w:rPr>
        <w:t>shall inform</w:t>
      </w:r>
      <w:r w:rsidRPr="000753F1">
        <w:rPr>
          <w:rFonts w:ascii="Arial" w:hAnsi="Arial" w:cs="Arial"/>
          <w:sz w:val="17"/>
          <w:szCs w:val="17"/>
        </w:rPr>
        <w:t xml:space="preserve"> TÜV Rheinland promptly about changes that may influence the product conformity, i.e. production process modification, modifications to product features, changes to</w:t>
      </w:r>
      <w:r>
        <w:rPr>
          <w:rFonts w:ascii="Arial" w:hAnsi="Arial" w:cs="Arial"/>
          <w:sz w:val="17"/>
          <w:szCs w:val="17"/>
        </w:rPr>
        <w:t xml:space="preserve"> quality management system etc.</w:t>
      </w:r>
    </w:p>
    <w:p w:rsidR="000753F1" w:rsidRDefault="000753F1" w:rsidP="000753F1">
      <w:pPr>
        <w:pStyle w:val="ListParagraph"/>
        <w:ind w:left="270"/>
        <w:rPr>
          <w:rFonts w:ascii="Arial" w:hAnsi="Arial" w:cs="Arial"/>
          <w:sz w:val="17"/>
          <w:szCs w:val="17"/>
        </w:rPr>
      </w:pPr>
    </w:p>
    <w:p w:rsidR="006066DF" w:rsidRPr="000753F1" w:rsidRDefault="006066DF" w:rsidP="00E557A5">
      <w:pPr>
        <w:pStyle w:val="ListParagraph"/>
        <w:numPr>
          <w:ilvl w:val="1"/>
          <w:numId w:val="3"/>
        </w:numPr>
        <w:tabs>
          <w:tab w:val="left" w:pos="-720"/>
        </w:tabs>
        <w:suppressAutoHyphens/>
        <w:ind w:left="270"/>
        <w:rPr>
          <w:rFonts w:ascii="Arial" w:hAnsi="Arial" w:cs="Arial"/>
          <w:b/>
          <w:bCs/>
          <w:sz w:val="17"/>
          <w:szCs w:val="17"/>
        </w:rPr>
      </w:pPr>
      <w:r w:rsidRPr="000753F1">
        <w:rPr>
          <w:rFonts w:ascii="Arial" w:hAnsi="Arial" w:cs="Arial"/>
          <w:sz w:val="17"/>
          <w:szCs w:val="17"/>
        </w:rPr>
        <w:t xml:space="preserve">The </w:t>
      </w:r>
      <w:r w:rsidR="000753F1" w:rsidRPr="000753F1">
        <w:rPr>
          <w:rFonts w:ascii="Arial" w:hAnsi="Arial" w:cs="Arial"/>
          <w:sz w:val="17"/>
          <w:szCs w:val="17"/>
        </w:rPr>
        <w:t xml:space="preserve">PVoC programs specific </w:t>
      </w:r>
      <w:r w:rsidRPr="000753F1">
        <w:rPr>
          <w:rFonts w:ascii="Arial" w:hAnsi="Arial" w:cs="Arial"/>
          <w:sz w:val="17"/>
          <w:szCs w:val="17"/>
        </w:rPr>
        <w:t>client responsibilities are stipulated in the respective application forms</w:t>
      </w:r>
      <w:r w:rsidR="000753F1">
        <w:rPr>
          <w:rFonts w:ascii="Arial" w:hAnsi="Arial" w:cs="Arial"/>
          <w:sz w:val="17"/>
          <w:szCs w:val="17"/>
        </w:rPr>
        <w:t>.</w:t>
      </w:r>
    </w:p>
    <w:p w:rsidR="000753F1" w:rsidRPr="000753F1" w:rsidRDefault="000753F1" w:rsidP="000753F1">
      <w:pPr>
        <w:tabs>
          <w:tab w:val="left" w:pos="-720"/>
        </w:tabs>
        <w:suppressAutoHyphens/>
        <w:rPr>
          <w:rFonts w:ascii="Arial" w:hAnsi="Arial" w:cs="Arial"/>
          <w:b/>
          <w:bCs/>
          <w:sz w:val="17"/>
          <w:szCs w:val="17"/>
        </w:rPr>
      </w:pPr>
    </w:p>
    <w:p w:rsidR="006066DF" w:rsidRPr="006066DF" w:rsidRDefault="006066DF" w:rsidP="006066DF">
      <w:pPr>
        <w:pStyle w:val="ListParagraph"/>
        <w:numPr>
          <w:ilvl w:val="0"/>
          <w:numId w:val="1"/>
        </w:numPr>
        <w:ind w:left="360"/>
        <w:rPr>
          <w:rFonts w:ascii="Arial" w:hAnsi="Arial" w:cs="Arial"/>
          <w:b/>
          <w:bCs/>
          <w:color w:val="2E74B5" w:themeColor="accent1" w:themeShade="BF"/>
          <w:sz w:val="17"/>
          <w:szCs w:val="17"/>
        </w:rPr>
      </w:pPr>
      <w:r w:rsidRPr="006066DF">
        <w:rPr>
          <w:rFonts w:ascii="Arial" w:hAnsi="Arial" w:cs="Arial"/>
          <w:b/>
          <w:bCs/>
          <w:color w:val="2E74B5" w:themeColor="accent1" w:themeShade="BF"/>
          <w:sz w:val="17"/>
          <w:szCs w:val="17"/>
        </w:rPr>
        <w:t>Liability</w:t>
      </w:r>
    </w:p>
    <w:p w:rsidR="006066DF" w:rsidRPr="006066DF" w:rsidRDefault="006066DF" w:rsidP="006066DF">
      <w:pPr>
        <w:pStyle w:val="ListParagraph"/>
        <w:ind w:left="360"/>
        <w:rPr>
          <w:rFonts w:ascii="Arial" w:hAnsi="Arial" w:cs="Arial"/>
          <w:b/>
          <w:bCs/>
          <w:color w:val="44546A" w:themeColor="text2"/>
          <w:sz w:val="17"/>
          <w:szCs w:val="17"/>
        </w:rPr>
      </w:pPr>
    </w:p>
    <w:p w:rsidR="006066DF" w:rsidRPr="006066DF" w:rsidRDefault="006066DF" w:rsidP="006066DF">
      <w:pPr>
        <w:pStyle w:val="ListParagraph"/>
        <w:numPr>
          <w:ilvl w:val="0"/>
          <w:numId w:val="3"/>
        </w:numPr>
        <w:rPr>
          <w:rStyle w:val="A1"/>
          <w:rFonts w:ascii="Arial" w:hAnsi="Arial" w:cs="Arial"/>
          <w:vanish/>
          <w:sz w:val="17"/>
          <w:szCs w:val="17"/>
        </w:rPr>
      </w:pPr>
    </w:p>
    <w:p w:rsidR="006066DF" w:rsidRPr="006066DF" w:rsidRDefault="006066DF" w:rsidP="006066DF">
      <w:pPr>
        <w:pStyle w:val="ListParagraph"/>
        <w:numPr>
          <w:ilvl w:val="1"/>
          <w:numId w:val="3"/>
        </w:numPr>
        <w:ind w:left="270"/>
        <w:rPr>
          <w:rStyle w:val="A1"/>
          <w:rFonts w:ascii="Arial" w:hAnsi="Arial" w:cs="Arial"/>
          <w:sz w:val="17"/>
          <w:szCs w:val="17"/>
        </w:rPr>
      </w:pPr>
      <w:r w:rsidRPr="006066DF">
        <w:rPr>
          <w:rStyle w:val="A1"/>
          <w:rFonts w:ascii="Arial" w:hAnsi="Arial" w:cs="Arial"/>
          <w:sz w:val="17"/>
          <w:szCs w:val="17"/>
        </w:rPr>
        <w:t>TÜV Rheinland shall not be liable for any delayed, partial or total non-performance of the services arising directly or indirectly from any event outside TÜV Rheinland’s control including failure by the client to comply with any of its obligations hereunder.</w:t>
      </w:r>
    </w:p>
    <w:p w:rsidR="006066DF" w:rsidRPr="006066DF" w:rsidRDefault="006066DF" w:rsidP="006066DF">
      <w:pPr>
        <w:tabs>
          <w:tab w:val="left" w:pos="540"/>
          <w:tab w:val="left" w:pos="810"/>
        </w:tabs>
        <w:rPr>
          <w:rStyle w:val="A1"/>
          <w:rFonts w:ascii="Arial" w:hAnsi="Arial" w:cs="Arial"/>
          <w:sz w:val="17"/>
          <w:szCs w:val="17"/>
        </w:rPr>
      </w:pPr>
    </w:p>
    <w:p w:rsidR="006066DF" w:rsidRPr="006066DF" w:rsidRDefault="006066DF" w:rsidP="006066DF">
      <w:pPr>
        <w:pStyle w:val="ListParagraph"/>
        <w:numPr>
          <w:ilvl w:val="1"/>
          <w:numId w:val="3"/>
        </w:numPr>
        <w:ind w:left="270"/>
        <w:rPr>
          <w:rStyle w:val="A1"/>
          <w:rFonts w:ascii="Arial" w:hAnsi="Arial" w:cs="Arial"/>
          <w:sz w:val="17"/>
          <w:szCs w:val="17"/>
        </w:rPr>
      </w:pPr>
      <w:r w:rsidRPr="006066DF">
        <w:rPr>
          <w:rStyle w:val="A1"/>
          <w:rFonts w:ascii="Arial" w:hAnsi="Arial" w:cs="Arial"/>
          <w:sz w:val="17"/>
          <w:szCs w:val="17"/>
        </w:rPr>
        <w:t>Liability for serious or intentional misconduct is according to the relevant applicable laws.</w:t>
      </w:r>
    </w:p>
    <w:p w:rsidR="006066DF" w:rsidRPr="006066DF" w:rsidRDefault="006066DF" w:rsidP="006066DF">
      <w:pPr>
        <w:tabs>
          <w:tab w:val="left" w:pos="540"/>
          <w:tab w:val="left" w:pos="810"/>
        </w:tabs>
        <w:rPr>
          <w:rStyle w:val="A1"/>
          <w:rFonts w:ascii="Arial" w:hAnsi="Arial" w:cs="Arial"/>
          <w:sz w:val="17"/>
          <w:szCs w:val="17"/>
        </w:rPr>
      </w:pPr>
    </w:p>
    <w:p w:rsidR="006066DF" w:rsidRPr="006066DF" w:rsidRDefault="006066DF" w:rsidP="006066DF">
      <w:pPr>
        <w:pStyle w:val="ListParagraph"/>
        <w:numPr>
          <w:ilvl w:val="1"/>
          <w:numId w:val="3"/>
        </w:numPr>
        <w:ind w:left="270"/>
        <w:rPr>
          <w:rStyle w:val="A1"/>
          <w:rFonts w:ascii="Arial" w:hAnsi="Arial" w:cs="Arial"/>
          <w:sz w:val="17"/>
          <w:szCs w:val="17"/>
        </w:rPr>
      </w:pPr>
      <w:r w:rsidRPr="006066DF">
        <w:rPr>
          <w:rStyle w:val="A1"/>
          <w:rFonts w:ascii="Arial" w:hAnsi="Arial" w:cs="Arial"/>
          <w:sz w:val="17"/>
          <w:szCs w:val="17"/>
        </w:rPr>
        <w:t>For all the other cases, TÜV Rheinland’s liability for any claim for loss, damage or expenses of whatever kind or origin is limited to the lesser of the following amounts:</w:t>
      </w:r>
    </w:p>
    <w:p w:rsidR="006066DF" w:rsidRPr="006066DF" w:rsidRDefault="006066DF" w:rsidP="006066DF">
      <w:pPr>
        <w:pStyle w:val="ListParagraph"/>
        <w:rPr>
          <w:rStyle w:val="A1"/>
          <w:rFonts w:ascii="Arial" w:hAnsi="Arial" w:cs="Arial"/>
          <w:sz w:val="17"/>
          <w:szCs w:val="17"/>
        </w:rPr>
      </w:pPr>
    </w:p>
    <w:p w:rsidR="006066DF" w:rsidRPr="006066DF" w:rsidRDefault="006066DF" w:rsidP="006066DF">
      <w:pPr>
        <w:pStyle w:val="ListParagraph"/>
        <w:numPr>
          <w:ilvl w:val="2"/>
          <w:numId w:val="3"/>
        </w:numPr>
        <w:ind w:left="810" w:hanging="540"/>
        <w:rPr>
          <w:rStyle w:val="A1"/>
          <w:rFonts w:ascii="Arial" w:hAnsi="Arial" w:cs="Arial"/>
          <w:sz w:val="17"/>
          <w:szCs w:val="17"/>
        </w:rPr>
      </w:pPr>
      <w:r w:rsidRPr="006066DF">
        <w:rPr>
          <w:rStyle w:val="A1"/>
          <w:rFonts w:ascii="Arial" w:hAnsi="Arial" w:cs="Arial"/>
          <w:sz w:val="17"/>
          <w:szCs w:val="17"/>
        </w:rPr>
        <w:t>The equivalent of five (5) times the fees paid or the commission due for the specific service requested under the terms of the contract at the origin of the aforesaid claim, or</w:t>
      </w:r>
    </w:p>
    <w:p w:rsidR="006066DF" w:rsidRPr="006066DF" w:rsidRDefault="006066DF" w:rsidP="006066DF">
      <w:pPr>
        <w:pStyle w:val="ListParagraph"/>
        <w:numPr>
          <w:ilvl w:val="2"/>
          <w:numId w:val="3"/>
        </w:numPr>
        <w:ind w:left="810" w:hanging="540"/>
        <w:rPr>
          <w:rStyle w:val="A1"/>
          <w:rFonts w:ascii="Arial" w:hAnsi="Arial" w:cs="Arial"/>
          <w:sz w:val="17"/>
          <w:szCs w:val="17"/>
        </w:rPr>
      </w:pPr>
      <w:r w:rsidRPr="006066DF">
        <w:rPr>
          <w:rStyle w:val="A1"/>
          <w:rFonts w:ascii="Arial" w:hAnsi="Arial" w:cs="Arial"/>
          <w:sz w:val="17"/>
          <w:szCs w:val="17"/>
        </w:rPr>
        <w:t>USD 15,000 (fifteen thousand US Dollars), or</w:t>
      </w:r>
    </w:p>
    <w:p w:rsidR="006066DF" w:rsidRPr="006066DF" w:rsidRDefault="006066DF" w:rsidP="006066DF">
      <w:pPr>
        <w:pStyle w:val="ListParagraph"/>
        <w:numPr>
          <w:ilvl w:val="2"/>
          <w:numId w:val="3"/>
        </w:numPr>
        <w:ind w:left="810" w:hanging="540"/>
        <w:rPr>
          <w:rStyle w:val="A1"/>
          <w:rFonts w:ascii="Arial" w:hAnsi="Arial" w:cs="Arial"/>
          <w:sz w:val="17"/>
          <w:szCs w:val="17"/>
        </w:rPr>
      </w:pPr>
      <w:r w:rsidRPr="006066DF">
        <w:rPr>
          <w:rStyle w:val="A1"/>
          <w:rFonts w:ascii="Arial" w:hAnsi="Arial" w:cs="Arial"/>
          <w:sz w:val="17"/>
          <w:szCs w:val="17"/>
        </w:rPr>
        <w:t>Any lower amount specified in the contract, agreement or other convention concluded between TÜV Rheinland and the Client.</w:t>
      </w:r>
    </w:p>
    <w:p w:rsidR="006066DF" w:rsidRPr="006066DF" w:rsidRDefault="006066DF" w:rsidP="006066DF">
      <w:pPr>
        <w:tabs>
          <w:tab w:val="left" w:pos="540"/>
          <w:tab w:val="left" w:pos="810"/>
        </w:tabs>
        <w:rPr>
          <w:rStyle w:val="A1"/>
          <w:rFonts w:ascii="Arial" w:hAnsi="Arial" w:cs="Arial"/>
          <w:sz w:val="17"/>
          <w:szCs w:val="17"/>
        </w:rPr>
      </w:pPr>
    </w:p>
    <w:p w:rsidR="006066DF" w:rsidRPr="006066DF" w:rsidRDefault="006066DF" w:rsidP="006066DF">
      <w:pPr>
        <w:pStyle w:val="ListParagraph"/>
        <w:numPr>
          <w:ilvl w:val="1"/>
          <w:numId w:val="3"/>
        </w:numPr>
        <w:ind w:left="270"/>
        <w:rPr>
          <w:rStyle w:val="A1"/>
          <w:rFonts w:ascii="Arial" w:hAnsi="Arial" w:cs="Arial"/>
          <w:sz w:val="17"/>
          <w:szCs w:val="17"/>
        </w:rPr>
      </w:pPr>
      <w:r w:rsidRPr="006066DF">
        <w:rPr>
          <w:rStyle w:val="A1"/>
          <w:rFonts w:ascii="Arial" w:hAnsi="Arial" w:cs="Arial"/>
          <w:sz w:val="17"/>
          <w:szCs w:val="17"/>
        </w:rPr>
        <w:t>TÜV Rheinland will not incur any liability for consequential or derivative damages including loss and profits, losses of future businesses, losses of production and/or cancellation of contracts concluded by the Client.</w:t>
      </w:r>
    </w:p>
    <w:p w:rsidR="006066DF" w:rsidRPr="006066DF" w:rsidRDefault="006066DF" w:rsidP="006066DF">
      <w:pPr>
        <w:pStyle w:val="ListParagraph"/>
        <w:tabs>
          <w:tab w:val="left" w:pos="540"/>
          <w:tab w:val="left" w:pos="810"/>
        </w:tabs>
        <w:rPr>
          <w:rStyle w:val="A1"/>
          <w:rFonts w:ascii="Arial" w:hAnsi="Arial" w:cs="Arial"/>
          <w:sz w:val="17"/>
          <w:szCs w:val="17"/>
        </w:rPr>
      </w:pPr>
    </w:p>
    <w:p w:rsidR="006066DF" w:rsidRPr="006066DF" w:rsidRDefault="006066DF" w:rsidP="006066DF">
      <w:pPr>
        <w:pStyle w:val="ListParagraph"/>
        <w:numPr>
          <w:ilvl w:val="1"/>
          <w:numId w:val="3"/>
        </w:numPr>
        <w:ind w:left="270"/>
        <w:rPr>
          <w:rStyle w:val="A1"/>
          <w:rFonts w:ascii="Arial" w:hAnsi="Arial" w:cs="Arial"/>
          <w:sz w:val="17"/>
          <w:szCs w:val="17"/>
        </w:rPr>
      </w:pPr>
      <w:r w:rsidRPr="006066DF">
        <w:rPr>
          <w:rStyle w:val="A1"/>
          <w:rFonts w:ascii="Arial" w:hAnsi="Arial" w:cs="Arial"/>
          <w:sz w:val="17"/>
          <w:szCs w:val="17"/>
        </w:rPr>
        <w:t>The Client will release, guarantee and indemnify TÜV Rheinland and its managers, employees, agents or subcontractors against any claim raised by a third party for loss, damage or expenses of whatever nature relating to the execution of the alleged nonperformance of services provided in accordance with the instructions of the Client.</w:t>
      </w:r>
    </w:p>
    <w:p w:rsidR="006066DF" w:rsidRPr="006066DF" w:rsidRDefault="006066DF" w:rsidP="006066DF">
      <w:pPr>
        <w:tabs>
          <w:tab w:val="left" w:pos="540"/>
          <w:tab w:val="left" w:pos="810"/>
          <w:tab w:val="left" w:pos="1080"/>
        </w:tabs>
        <w:ind w:left="-363"/>
        <w:rPr>
          <w:rStyle w:val="A1"/>
          <w:rFonts w:ascii="Arial" w:hAnsi="Arial" w:cs="Arial"/>
          <w:sz w:val="17"/>
          <w:szCs w:val="17"/>
        </w:rPr>
      </w:pPr>
    </w:p>
    <w:p w:rsidR="006066DF" w:rsidRPr="006066DF" w:rsidRDefault="006066DF" w:rsidP="006066DF">
      <w:pPr>
        <w:pStyle w:val="ListParagraph"/>
        <w:numPr>
          <w:ilvl w:val="0"/>
          <w:numId w:val="1"/>
        </w:numPr>
        <w:ind w:left="360"/>
        <w:rPr>
          <w:rFonts w:ascii="Arial" w:hAnsi="Arial" w:cs="Arial"/>
          <w:b/>
          <w:bCs/>
          <w:color w:val="2E74B5" w:themeColor="accent1" w:themeShade="BF"/>
          <w:sz w:val="17"/>
          <w:szCs w:val="17"/>
        </w:rPr>
      </w:pPr>
      <w:r w:rsidRPr="006066DF">
        <w:rPr>
          <w:rFonts w:ascii="Arial" w:hAnsi="Arial" w:cs="Arial"/>
          <w:b/>
          <w:bCs/>
          <w:color w:val="2E74B5" w:themeColor="accent1" w:themeShade="BF"/>
          <w:sz w:val="17"/>
          <w:szCs w:val="17"/>
        </w:rPr>
        <w:t>Force Majeure</w:t>
      </w:r>
    </w:p>
    <w:p w:rsidR="006066DF" w:rsidRPr="006066DF" w:rsidRDefault="006066DF" w:rsidP="006066DF">
      <w:pPr>
        <w:pStyle w:val="ListParagraph"/>
        <w:ind w:left="360"/>
        <w:rPr>
          <w:rFonts w:ascii="Arial" w:hAnsi="Arial" w:cs="Arial"/>
          <w:b/>
          <w:bCs/>
          <w:color w:val="44546A" w:themeColor="text2"/>
          <w:sz w:val="17"/>
          <w:szCs w:val="17"/>
        </w:rPr>
      </w:pPr>
    </w:p>
    <w:p w:rsidR="006066DF" w:rsidRPr="006066DF" w:rsidRDefault="006066DF" w:rsidP="006066DF">
      <w:pPr>
        <w:pStyle w:val="ListParagraph"/>
        <w:numPr>
          <w:ilvl w:val="0"/>
          <w:numId w:val="3"/>
        </w:numPr>
        <w:rPr>
          <w:rStyle w:val="A1"/>
          <w:rFonts w:ascii="Arial" w:hAnsi="Arial" w:cs="Arial"/>
          <w:vanish/>
          <w:sz w:val="17"/>
          <w:szCs w:val="17"/>
        </w:rPr>
      </w:pPr>
    </w:p>
    <w:p w:rsidR="006066DF" w:rsidRPr="006066DF" w:rsidRDefault="006066DF" w:rsidP="006066DF">
      <w:pPr>
        <w:pStyle w:val="ListParagraph"/>
        <w:numPr>
          <w:ilvl w:val="1"/>
          <w:numId w:val="3"/>
        </w:numPr>
        <w:ind w:left="270"/>
        <w:rPr>
          <w:rStyle w:val="A1"/>
          <w:rFonts w:ascii="Arial" w:hAnsi="Arial" w:cs="Arial"/>
          <w:sz w:val="17"/>
          <w:szCs w:val="17"/>
        </w:rPr>
      </w:pPr>
      <w:r w:rsidRPr="006066DF">
        <w:rPr>
          <w:rStyle w:val="A1"/>
          <w:rFonts w:ascii="Arial" w:hAnsi="Arial" w:cs="Arial"/>
          <w:sz w:val="17"/>
          <w:szCs w:val="17"/>
        </w:rPr>
        <w:t>In the event that TÜV Rheinland is prevented for any reason whatsoever outside its control from carrying out or from bringing services to a successful conclusion for which an order was placed or an agreement concluded, the TÜV  Rheinland will be released from any liability for the partial or total non-performance of the services requested. Moreover, the Client will pay the TÜV Rheinland:</w:t>
      </w:r>
    </w:p>
    <w:p w:rsidR="006066DF" w:rsidRPr="006066DF" w:rsidRDefault="006066DF" w:rsidP="006066DF">
      <w:pPr>
        <w:pStyle w:val="ListParagraph"/>
        <w:ind w:left="270"/>
        <w:rPr>
          <w:rStyle w:val="A1"/>
          <w:rFonts w:ascii="Arial" w:hAnsi="Arial" w:cs="Arial"/>
          <w:sz w:val="17"/>
          <w:szCs w:val="17"/>
        </w:rPr>
      </w:pPr>
      <w:r w:rsidRPr="006066DF">
        <w:rPr>
          <w:rStyle w:val="A1"/>
          <w:rFonts w:ascii="Arial" w:hAnsi="Arial" w:cs="Arial"/>
          <w:sz w:val="17"/>
          <w:szCs w:val="17"/>
        </w:rPr>
        <w:tab/>
      </w:r>
    </w:p>
    <w:p w:rsidR="006066DF" w:rsidRPr="006066DF" w:rsidRDefault="006066DF" w:rsidP="006066DF">
      <w:pPr>
        <w:pStyle w:val="ListParagraph"/>
        <w:numPr>
          <w:ilvl w:val="2"/>
          <w:numId w:val="3"/>
        </w:numPr>
        <w:ind w:left="810" w:hanging="540"/>
        <w:rPr>
          <w:rStyle w:val="A1"/>
          <w:rFonts w:ascii="Arial" w:hAnsi="Arial" w:cs="Arial"/>
          <w:sz w:val="17"/>
          <w:szCs w:val="17"/>
        </w:rPr>
      </w:pPr>
      <w:r w:rsidRPr="006066DF">
        <w:rPr>
          <w:rStyle w:val="A1"/>
          <w:rFonts w:ascii="Arial" w:hAnsi="Arial" w:cs="Arial"/>
          <w:sz w:val="17"/>
          <w:szCs w:val="17"/>
        </w:rPr>
        <w:t>All the expenses actually incurred;</w:t>
      </w:r>
    </w:p>
    <w:p w:rsidR="006066DF" w:rsidRPr="006066DF" w:rsidRDefault="006066DF" w:rsidP="006066DF">
      <w:pPr>
        <w:pStyle w:val="ListParagraph"/>
        <w:numPr>
          <w:ilvl w:val="2"/>
          <w:numId w:val="3"/>
        </w:numPr>
        <w:ind w:left="810" w:hanging="540"/>
        <w:rPr>
          <w:rStyle w:val="A1"/>
          <w:rFonts w:ascii="Arial" w:hAnsi="Arial" w:cs="Arial"/>
          <w:sz w:val="16"/>
          <w:szCs w:val="16"/>
        </w:rPr>
      </w:pPr>
      <w:r w:rsidRPr="006066DF">
        <w:rPr>
          <w:rStyle w:val="A1"/>
          <w:rFonts w:ascii="Arial" w:hAnsi="Arial" w:cs="Arial"/>
          <w:sz w:val="17"/>
          <w:szCs w:val="17"/>
        </w:rPr>
        <w:t>A proportional</w:t>
      </w:r>
      <w:r w:rsidRPr="006066DF">
        <w:rPr>
          <w:rStyle w:val="A1"/>
          <w:rFonts w:ascii="Arial" w:hAnsi="Arial" w:cs="Arial"/>
          <w:sz w:val="16"/>
          <w:szCs w:val="16"/>
        </w:rPr>
        <w:t xml:space="preserve"> share.</w:t>
      </w:r>
    </w:p>
    <w:p w:rsidR="00CF7EEA" w:rsidRPr="006066DF" w:rsidRDefault="00CF7EEA">
      <w:pPr>
        <w:rPr>
          <w:rFonts w:ascii="Arial" w:hAnsi="Arial" w:cs="Arial"/>
          <w:sz w:val="16"/>
          <w:szCs w:val="16"/>
        </w:rPr>
      </w:pPr>
    </w:p>
    <w:sectPr w:rsidR="00CF7EEA" w:rsidRPr="006066DF" w:rsidSect="0091467B">
      <w:headerReference w:type="default" r:id="rId7"/>
      <w:footerReference w:type="default" r:id="rId8"/>
      <w:pgSz w:w="12240" w:h="15840"/>
      <w:pgMar w:top="1440" w:right="1080" w:bottom="720" w:left="1080" w:header="720" w:footer="36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E85" w:rsidRDefault="00303E85" w:rsidP="006066DF">
      <w:r>
        <w:separator/>
      </w:r>
    </w:p>
  </w:endnote>
  <w:endnote w:type="continuationSeparator" w:id="0">
    <w:p w:rsidR="00303E85" w:rsidRDefault="00303E85" w:rsidP="0060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Yu Gothic UI"/>
    <w:panose1 w:val="02020609040205080304"/>
    <w:charset w:val="80"/>
    <w:family w:val="roman"/>
    <w:notTrueType/>
    <w:pitch w:val="fixed"/>
    <w:sig w:usb0="00000000" w:usb1="08070000" w:usb2="00000010" w:usb3="00000000" w:csb0="00020000" w:csb1="00000000"/>
  </w:font>
  <w:font w:name="Univers LT 45 Light">
    <w:altName w:val="Univers LT 45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6DF" w:rsidRPr="006066DF" w:rsidRDefault="00E864E5" w:rsidP="006066DF">
    <w:pPr>
      <w:pStyle w:val="Footer"/>
      <w:tabs>
        <w:tab w:val="clear" w:pos="9360"/>
        <w:tab w:val="right" w:pos="10800"/>
      </w:tabs>
      <w:rPr>
        <w:rFonts w:ascii="Arial" w:hAnsi="Arial" w:cs="Arial"/>
        <w:sz w:val="16"/>
      </w:rPr>
    </w:pPr>
    <w:r>
      <w:rPr>
        <w:rFonts w:ascii="Arial" w:hAnsi="Arial" w:cs="Arial"/>
        <w:sz w:val="16"/>
      </w:rPr>
      <w:t xml:space="preserve">Last </w:t>
    </w:r>
    <w:r w:rsidR="00D85A7E">
      <w:rPr>
        <w:rFonts w:ascii="Arial" w:hAnsi="Arial" w:cs="Arial"/>
        <w:sz w:val="16"/>
      </w:rPr>
      <w:t xml:space="preserve">Updated: </w:t>
    </w:r>
    <w:r>
      <w:rPr>
        <w:rFonts w:ascii="Arial" w:hAnsi="Arial" w:cs="Arial"/>
        <w:sz w:val="16"/>
      </w:rPr>
      <w:t>11 Dec 2017</w:t>
    </w:r>
    <w:r w:rsidR="006066DF" w:rsidRPr="006066DF">
      <w:rPr>
        <w:rFonts w:ascii="Arial" w:hAnsi="Arial" w:cs="Arial"/>
        <w:sz w:val="16"/>
      </w:rPr>
      <w:t xml:space="preserve"> </w:t>
    </w:r>
    <w:r w:rsidR="006066DF" w:rsidRPr="006066DF">
      <w:rPr>
        <w:rFonts w:ascii="Arial" w:hAnsi="Arial" w:cs="Arial"/>
        <w:sz w:val="16"/>
      </w:rPr>
      <w:tab/>
    </w:r>
    <w:r w:rsidR="006066DF" w:rsidRPr="006066DF">
      <w:rPr>
        <w:rFonts w:ascii="Arial" w:hAnsi="Arial" w:cs="Arial"/>
        <w:sz w:val="16"/>
      </w:rPr>
      <w:tab/>
      <w:t xml:space="preserve">                Page 1 of 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E85" w:rsidRDefault="00303E85" w:rsidP="006066DF">
      <w:r>
        <w:separator/>
      </w:r>
    </w:p>
  </w:footnote>
  <w:footnote w:type="continuationSeparator" w:id="0">
    <w:p w:rsidR="00303E85" w:rsidRDefault="00303E85" w:rsidP="00606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Look w:val="04A0" w:firstRow="1" w:lastRow="0" w:firstColumn="1" w:lastColumn="0" w:noHBand="0" w:noVBand="1"/>
    </w:tblPr>
    <w:tblGrid>
      <w:gridCol w:w="2854"/>
      <w:gridCol w:w="7216"/>
    </w:tblGrid>
    <w:tr w:rsidR="006066DF" w:rsidTr="0091467B">
      <w:trPr>
        <w:trHeight w:val="800"/>
      </w:trPr>
      <w:tc>
        <w:tcPr>
          <w:tcW w:w="1417" w:type="pct"/>
        </w:tcPr>
        <w:p w:rsidR="006066DF" w:rsidRPr="007A6BCF" w:rsidRDefault="006066DF" w:rsidP="006066DF">
          <w:pPr>
            <w:pStyle w:val="Header"/>
            <w:tabs>
              <w:tab w:val="left" w:pos="360"/>
            </w:tabs>
            <w:rPr>
              <w:rFonts w:asciiTheme="minorBidi" w:hAnsiTheme="minorBidi" w:cstheme="minorBidi"/>
              <w:sz w:val="12"/>
            </w:rPr>
          </w:pPr>
          <w:r w:rsidRPr="006F1ACE">
            <w:rPr>
              <w:rFonts w:asciiTheme="minorBidi" w:hAnsiTheme="minorBidi" w:cstheme="minorBidi"/>
              <w:b/>
              <w:bCs/>
              <w:noProof/>
              <w:lang w:eastAsia="en-US"/>
            </w:rPr>
            <w:drawing>
              <wp:anchor distT="0" distB="0" distL="114300" distR="114300" simplePos="0" relativeHeight="251659264" behindDoc="1" locked="0" layoutInCell="1" allowOverlap="1" wp14:anchorId="5182F169" wp14:editId="277436C4">
                <wp:simplePos x="0" y="0"/>
                <wp:positionH relativeFrom="column">
                  <wp:posOffset>-1270</wp:posOffset>
                </wp:positionH>
                <wp:positionV relativeFrom="paragraph">
                  <wp:posOffset>53340</wp:posOffset>
                </wp:positionV>
                <wp:extent cx="1560830" cy="379095"/>
                <wp:effectExtent l="0" t="0" r="1270" b="1905"/>
                <wp:wrapTight wrapText="bothSides">
                  <wp:wrapPolygon edited="0">
                    <wp:start x="0" y="0"/>
                    <wp:lineTo x="0" y="20623"/>
                    <wp:lineTo x="21354" y="20623"/>
                    <wp:lineTo x="21354" y="0"/>
                    <wp:lineTo x="0" y="0"/>
                  </wp:wrapPolygon>
                </wp:wrapTight>
                <wp:docPr id="18" name="Picture 18" descr="Logo Englisch-TUV®L1en_Präsent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 Englisch-TUV®L1en_Präsentation"/>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0830" cy="3790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83" w:type="pct"/>
          <w:vAlign w:val="center"/>
        </w:tcPr>
        <w:p w:rsidR="006066DF" w:rsidRPr="006066DF" w:rsidRDefault="006066DF" w:rsidP="006066DF">
          <w:pPr>
            <w:pStyle w:val="Header"/>
            <w:tabs>
              <w:tab w:val="left" w:pos="360"/>
            </w:tabs>
            <w:jc w:val="left"/>
            <w:rPr>
              <w:rFonts w:ascii="Arial" w:hAnsi="Arial" w:cs="Arial"/>
              <w:b/>
              <w:bCs/>
              <w:sz w:val="22"/>
              <w:szCs w:val="22"/>
            </w:rPr>
          </w:pPr>
          <w:r w:rsidRPr="006066DF">
            <w:rPr>
              <w:rFonts w:ascii="Arial" w:hAnsi="Arial" w:cs="Arial"/>
              <w:b/>
              <w:bCs/>
              <w:sz w:val="24"/>
              <w:szCs w:val="22"/>
            </w:rPr>
            <w:t xml:space="preserve">Product Verification of Conformity Terms and Conditions </w:t>
          </w:r>
        </w:p>
      </w:tc>
    </w:tr>
  </w:tbl>
  <w:p w:rsidR="006066DF" w:rsidRDefault="006066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171D8"/>
    <w:multiLevelType w:val="hybridMultilevel"/>
    <w:tmpl w:val="CCF2E4E6"/>
    <w:lvl w:ilvl="0" w:tplc="0409000F">
      <w:start w:val="1"/>
      <w:numFmt w:val="decimal"/>
      <w:lvlText w:val="%1."/>
      <w:lvlJc w:val="left"/>
      <w:pPr>
        <w:ind w:left="720" w:hanging="360"/>
      </w:pPr>
    </w:lvl>
    <w:lvl w:ilvl="1" w:tplc="1024940E">
      <w:start w:val="1"/>
      <w:numFmt w:val="decimal"/>
      <w:lvlText w:val="%2.1"/>
      <w:lvlJc w:val="left"/>
      <w:pPr>
        <w:ind w:left="1440" w:hanging="360"/>
      </w:pPr>
      <w:rPr>
        <w:rFonts w:hint="default"/>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031BEF"/>
    <w:multiLevelType w:val="multilevel"/>
    <w:tmpl w:val="D3CEFD4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770A1259"/>
    <w:multiLevelType w:val="multilevel"/>
    <w:tmpl w:val="204A245A"/>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6DF"/>
    <w:rsid w:val="000667B1"/>
    <w:rsid w:val="000753F1"/>
    <w:rsid w:val="002C47CD"/>
    <w:rsid w:val="00303E85"/>
    <w:rsid w:val="003069D1"/>
    <w:rsid w:val="003B734E"/>
    <w:rsid w:val="006066DF"/>
    <w:rsid w:val="007E6B10"/>
    <w:rsid w:val="0091467B"/>
    <w:rsid w:val="009F1759"/>
    <w:rsid w:val="00B86A44"/>
    <w:rsid w:val="00BF2F10"/>
    <w:rsid w:val="00C524DE"/>
    <w:rsid w:val="00CF7EEA"/>
    <w:rsid w:val="00D44A6F"/>
    <w:rsid w:val="00D85A7E"/>
    <w:rsid w:val="00E864E5"/>
    <w:rsid w:val="00EC2E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9C2EA9"/>
  <w15:chartTrackingRefBased/>
  <w15:docId w15:val="{83657D56-EE15-480F-85D2-EAAE05F60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6DF"/>
    <w:pPr>
      <w:widowControl w:val="0"/>
      <w:spacing w:after="0" w:line="240" w:lineRule="auto"/>
      <w:jc w:val="both"/>
    </w:pPr>
    <w:rPr>
      <w:rFonts w:ascii="Century" w:eastAsia="MS Mincho" w:hAnsi="Century" w:cs="Times New Roman"/>
      <w:kern w:val="2"/>
      <w:sz w:val="21"/>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66DF"/>
    <w:pPr>
      <w:tabs>
        <w:tab w:val="center" w:pos="4680"/>
        <w:tab w:val="right" w:pos="9360"/>
      </w:tabs>
    </w:pPr>
  </w:style>
  <w:style w:type="character" w:customStyle="1" w:styleId="HeaderChar">
    <w:name w:val="Header Char"/>
    <w:basedOn w:val="DefaultParagraphFont"/>
    <w:link w:val="Header"/>
    <w:uiPriority w:val="99"/>
    <w:rsid w:val="006066DF"/>
  </w:style>
  <w:style w:type="paragraph" w:styleId="Footer">
    <w:name w:val="footer"/>
    <w:basedOn w:val="Normal"/>
    <w:link w:val="FooterChar"/>
    <w:uiPriority w:val="99"/>
    <w:unhideWhenUsed/>
    <w:rsid w:val="006066DF"/>
    <w:pPr>
      <w:tabs>
        <w:tab w:val="center" w:pos="4680"/>
        <w:tab w:val="right" w:pos="9360"/>
      </w:tabs>
    </w:pPr>
  </w:style>
  <w:style w:type="character" w:customStyle="1" w:styleId="FooterChar">
    <w:name w:val="Footer Char"/>
    <w:basedOn w:val="DefaultParagraphFont"/>
    <w:link w:val="Footer"/>
    <w:uiPriority w:val="99"/>
    <w:rsid w:val="006066DF"/>
  </w:style>
  <w:style w:type="table" w:styleId="TableGrid">
    <w:name w:val="Table Grid"/>
    <w:basedOn w:val="TableNormal"/>
    <w:uiPriority w:val="59"/>
    <w:rsid w:val="00606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66DF"/>
    <w:pPr>
      <w:ind w:left="720"/>
      <w:contextualSpacing/>
    </w:pPr>
  </w:style>
  <w:style w:type="character" w:customStyle="1" w:styleId="A1">
    <w:name w:val="A1"/>
    <w:uiPriority w:val="99"/>
    <w:rsid w:val="006066DF"/>
    <w:rPr>
      <w:rFonts w:cs="Univers LT 45 Light"/>
      <w:color w:val="000000"/>
    </w:rPr>
  </w:style>
  <w:style w:type="paragraph" w:styleId="BalloonText">
    <w:name w:val="Balloon Text"/>
    <w:basedOn w:val="Normal"/>
    <w:link w:val="BalloonTextChar"/>
    <w:uiPriority w:val="99"/>
    <w:semiHidden/>
    <w:unhideWhenUsed/>
    <w:rsid w:val="000667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67B1"/>
    <w:rPr>
      <w:rFonts w:ascii="Segoe UI" w:eastAsia="MS Mincho" w:hAnsi="Segoe UI" w:cs="Segoe UI"/>
      <w:kern w:val="2"/>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769</Words>
  <Characters>4387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TUV</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Nishani Jayawardhana</dc:creator>
  <cp:keywords/>
  <dc:description/>
  <cp:lastModifiedBy>Nishani Jayawardhana</cp:lastModifiedBy>
  <cp:revision>7</cp:revision>
  <cp:lastPrinted>2017-12-04T08:21:00Z</cp:lastPrinted>
  <dcterms:created xsi:type="dcterms:W3CDTF">2017-12-04T08:21:00Z</dcterms:created>
  <dcterms:modified xsi:type="dcterms:W3CDTF">2020-05-20T06:46:00Z</dcterms:modified>
</cp:coreProperties>
</file>